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8820" w14:textId="77777777" w:rsidR="00D04D23" w:rsidRPr="005C6382" w:rsidRDefault="00D04D23" w:rsidP="00D04D23">
      <w:pPr>
        <w:jc w:val="both"/>
        <w:rPr>
          <w:rFonts w:ascii="Times New Roman" w:hAnsi="Times New Roman" w:cs="Times New Roman"/>
          <w:b/>
          <w:bCs/>
        </w:rPr>
      </w:pPr>
      <w:r w:rsidRPr="005C6382">
        <w:rPr>
          <w:rFonts w:ascii="Times New Roman" w:hAnsi="Times New Roman" w:cs="Times New Roman"/>
          <w:b/>
          <w:bCs/>
        </w:rPr>
        <w:t>Ocena sytuacji gospodarczej w 2026 roku oraz perspektywy na 2027 rok</w:t>
      </w:r>
    </w:p>
    <w:p w14:paraId="3E9E4C56" w14:textId="77777777" w:rsidR="004202A0" w:rsidRPr="005C6382" w:rsidRDefault="00F900D7" w:rsidP="00D04D23">
      <w:pPr>
        <w:jc w:val="both"/>
        <w:rPr>
          <w:rFonts w:ascii="Times New Roman" w:hAnsi="Times New Roman" w:cs="Times New Roman"/>
        </w:rPr>
      </w:pPr>
      <w:r w:rsidRPr="005C6382">
        <w:rPr>
          <w:rFonts w:ascii="Times New Roman" w:hAnsi="Times New Roman" w:cs="Times New Roman"/>
        </w:rPr>
        <w:t xml:space="preserve">Pierwsze sześć miesięcy 2026 roku potwierdziło stopniowe przechodzenie polskiej gospodarki z okresu wysokiej zmienności do fazy stabilizacji makroekonomicznej. Wzrost gospodarczy utrzymywał się na relatywnie wysokim poziomie, wspierany przez odbudowującą się konsumpcję prywatną, inwestycje współfinansowane ze środków Krajowego Planu Odbudowy oraz poprawiającą się sytuację w przemyśle i usługach. Jednocześnie wyraźnie osłabła presja inflacyjna, co przełożyło się na większą przewidywalność kosztów prowadzenia działalności gospodarczej. Rynek pracy pozostał wyjątkowo odporny na spowolnienie – utrzymywało się niskie bezrobocie oraz wysoki popyt na wykwalifikowanych pracowników, zwłaszcza w sektorze rzemiosła i usług technicznych. </w:t>
      </w:r>
    </w:p>
    <w:p w14:paraId="049D5D0D" w14:textId="5C5EDF03" w:rsidR="00F900D7" w:rsidRPr="005C6382" w:rsidRDefault="00F900D7" w:rsidP="00D04D23">
      <w:pPr>
        <w:jc w:val="both"/>
        <w:rPr>
          <w:rFonts w:ascii="Times New Roman" w:hAnsi="Times New Roman" w:cs="Times New Roman"/>
        </w:rPr>
      </w:pPr>
      <w:r w:rsidRPr="005C6382">
        <w:rPr>
          <w:rFonts w:ascii="Times New Roman" w:hAnsi="Times New Roman" w:cs="Times New Roman"/>
        </w:rPr>
        <w:t>Mimo poprawy otoczenia makroekonomicznego przedsiębiorcy nadal funkcjonowali w warunkach wysokich kosztów energii, wynagrodzeń i finansowania, co powodowało, że poprawa wyników finansowych była znacznie słabsza niż wynikałoby z samego spadku inflacji. Pierwsze półrocze 2026 roku można zatem ocenić jako okres odbudowy stabilności gospodarczej, który stworzył korzystniejsze warunki do planowania działalności, nie eliminując jednak najważniejszych wyzwań strukturalnych stojących przed sektorem małych i średnich przedsiębiorstw.</w:t>
      </w:r>
    </w:p>
    <w:p w14:paraId="74F2EAEB" w14:textId="0E2034FC" w:rsidR="00D04D23" w:rsidRPr="005C6382" w:rsidRDefault="00D04D23" w:rsidP="00D04D23">
      <w:pPr>
        <w:jc w:val="both"/>
        <w:rPr>
          <w:rFonts w:ascii="Times New Roman" w:hAnsi="Times New Roman" w:cs="Times New Roman"/>
        </w:rPr>
      </w:pPr>
      <w:r w:rsidRPr="005C6382">
        <w:rPr>
          <w:rFonts w:ascii="Times New Roman" w:hAnsi="Times New Roman" w:cs="Times New Roman"/>
        </w:rPr>
        <w:t>Lipcowe projekcje Narodowego Banku Polskiego oraz założenia rządowych dokumentów strategicznych wskazują, że polska gospodarka wchodzi w etap stopniowej normalizacji po okresie wyjątkowo wysokiej zmienności wywołanej pandemią, kryzysem energetycznym oraz gwałtownym wzrostem inflacji w latach 2022–2024. Po kilku latach funkcjonowania w warunkach podwyższonego ryzyka przedsiębiorcy będą działać w znacznie bardziej przewidywalnym otoczeniu makroekonomicznym. Nie oznacza to jednak powrotu do warunków sprzed kryzysów – gospodarka osiągnęła nową, trwale wyższą bazę kosztową.</w:t>
      </w:r>
    </w:p>
    <w:p w14:paraId="262B3B86"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t>Z punktu widzenia sektora rzemiosła i małych przedsiębiorstw rok 2027 będzie okresem weryfikacji modeli biznesowych. Dotychczas o konkurencyjności wielu firm decydowała możliwość szybkiego przenoszenia rosnących kosztów na ceny produktów i usług. W warunkach niskiej inflacji mechanizm ten przestanie działać, a przewagę konkurencyjną będą budować przede wszystkim przedsiębiorstwa osiągające wysoką produktywność, efektywność organizacyjną oraz racjonalne zarządzanie kosztami.</w:t>
      </w:r>
    </w:p>
    <w:p w14:paraId="41C7EBBB" w14:textId="77777777" w:rsidR="00D04D23" w:rsidRPr="005C6382" w:rsidRDefault="00D04D23" w:rsidP="00D04D23">
      <w:pPr>
        <w:jc w:val="both"/>
        <w:rPr>
          <w:rFonts w:ascii="Times New Roman" w:hAnsi="Times New Roman" w:cs="Times New Roman"/>
        </w:rPr>
      </w:pPr>
    </w:p>
    <w:p w14:paraId="63974AC9" w14:textId="77777777" w:rsidR="00D04D23" w:rsidRPr="005C6382" w:rsidRDefault="00D04D23" w:rsidP="00D04D23">
      <w:pPr>
        <w:jc w:val="both"/>
        <w:rPr>
          <w:rFonts w:ascii="Times New Roman" w:hAnsi="Times New Roman" w:cs="Times New Roman"/>
          <w:b/>
          <w:bCs/>
        </w:rPr>
      </w:pPr>
      <w:r w:rsidRPr="005C6382">
        <w:rPr>
          <w:rFonts w:ascii="Times New Roman" w:hAnsi="Times New Roman" w:cs="Times New Roman"/>
          <w:b/>
          <w:bCs/>
        </w:rPr>
        <w:t>Makroekonomiczny konsensus – gospodarka w fazie „miękkiego lądowania”</w:t>
      </w:r>
    </w:p>
    <w:p w14:paraId="3E1CE952" w14:textId="0FF578E2" w:rsidR="00D04D23" w:rsidRPr="005C6382" w:rsidRDefault="00D04D23" w:rsidP="00D04D23">
      <w:pPr>
        <w:jc w:val="both"/>
        <w:rPr>
          <w:rFonts w:ascii="Times New Roman" w:hAnsi="Times New Roman" w:cs="Times New Roman"/>
        </w:rPr>
      </w:pPr>
      <w:r w:rsidRPr="005C6382">
        <w:rPr>
          <w:rFonts w:ascii="Times New Roman" w:hAnsi="Times New Roman" w:cs="Times New Roman"/>
        </w:rPr>
        <w:t>Według lipcowych projekcji Narodowego Banku Polskiego gospodarka w 2027 roku ma utrzymać dodatnią dynamikę wzrostu, choć tempo rozwoju będzie niższe niż w roku 2026. Centralna ścieżka prognozy zakłada wzrost produktu krajowego brutto na poziomie około 2,8%, wobec około 3,7% prognozowanych na rok 2026. Oznacza to przejście z fazy szybkiego odbicia do bardziej zrównoważonego</w:t>
      </w:r>
      <w:r w:rsidRPr="005C6382">
        <w:rPr>
          <w:rFonts w:ascii="Times New Roman" w:hAnsi="Times New Roman" w:cs="Times New Roman"/>
        </w:rPr>
        <w:t>, hamującego</w:t>
      </w:r>
      <w:r w:rsidRPr="005C6382">
        <w:rPr>
          <w:rFonts w:ascii="Times New Roman" w:hAnsi="Times New Roman" w:cs="Times New Roman"/>
        </w:rPr>
        <w:t xml:space="preserve"> tempa rozwoju, typowego dla dojrzałej gospodarki. Projekcje NBP wskazują jednocześnie na dalszy spadek inflacji w kierunku celu banku centralnego.</w:t>
      </w:r>
    </w:p>
    <w:p w14:paraId="762FC2A1"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lastRenderedPageBreak/>
        <w:t>Na wyhamowanie dynamiki PKB wpływać będzie przede wszystkim stopniowe wygaszanie impulsu inwestycyjnego związanego z realizacją projektów finansowanych z Krajowego Planu Odbudowy oraz funduszy unijnych perspektywy 2021–2027. W poprzednich latach środki te silnie pobudzały sektor budowlany, przemysł materiałów budowlanych oraz usługi inwestycyjne. W kolejnych latach ich wpływ na tempo wzrostu będzie coraz mniejszy.</w:t>
      </w:r>
    </w:p>
    <w:p w14:paraId="214AA482"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t>Jednocześnie wzrost konsumpcji prywatnej powinien ulec stabilizacji. Wysoka dynamika płac realnych z lat 2025–2026 stopniowo będzie wygasać, a gospodarstwa domowe będą zwiększały skłonność do oszczędzania po okresie podwyższonej inflacji.</w:t>
      </w:r>
    </w:p>
    <w:p w14:paraId="5AB99E43"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t>Najbardziej istotne z punktu widzenia przedsiębiorców pozostają wskaźniki nominalne, które bezpośrednio wpływają na koszty prowadzenia działalności gospodarczej:</w:t>
      </w:r>
    </w:p>
    <w:tbl>
      <w:tblPr>
        <w:tblStyle w:val="Tabela-Siatka"/>
        <w:tblW w:w="0" w:type="auto"/>
        <w:tblLook w:val="04A0" w:firstRow="1" w:lastRow="0" w:firstColumn="1" w:lastColumn="0" w:noHBand="0" w:noVBand="1"/>
      </w:tblPr>
      <w:tblGrid>
        <w:gridCol w:w="2989"/>
        <w:gridCol w:w="1663"/>
      </w:tblGrid>
      <w:tr w:rsidR="00D04D23" w:rsidRPr="005C6382" w14:paraId="27EB125A" w14:textId="77777777" w:rsidTr="00D04D23">
        <w:tc>
          <w:tcPr>
            <w:tcW w:w="0" w:type="auto"/>
            <w:hideMark/>
          </w:tcPr>
          <w:p w14:paraId="1DF96767"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Wskaźnik</w:t>
            </w:r>
          </w:p>
        </w:tc>
        <w:tc>
          <w:tcPr>
            <w:tcW w:w="0" w:type="auto"/>
            <w:hideMark/>
          </w:tcPr>
          <w:p w14:paraId="0400A5F3"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Prognoza 2027</w:t>
            </w:r>
          </w:p>
        </w:tc>
      </w:tr>
      <w:tr w:rsidR="00D04D23" w:rsidRPr="005C6382" w14:paraId="14AD571B" w14:textId="77777777" w:rsidTr="00D04D23">
        <w:tc>
          <w:tcPr>
            <w:tcW w:w="0" w:type="auto"/>
            <w:hideMark/>
          </w:tcPr>
          <w:p w14:paraId="002BCD95"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Wzrost PKB</w:t>
            </w:r>
          </w:p>
        </w:tc>
        <w:tc>
          <w:tcPr>
            <w:tcW w:w="0" w:type="auto"/>
            <w:hideMark/>
          </w:tcPr>
          <w:p w14:paraId="2B7A7A2A"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ok. 2,8%</w:t>
            </w:r>
          </w:p>
        </w:tc>
      </w:tr>
      <w:tr w:rsidR="00D04D23" w:rsidRPr="005C6382" w14:paraId="4CBCBB84" w14:textId="77777777" w:rsidTr="00D04D23">
        <w:tc>
          <w:tcPr>
            <w:tcW w:w="0" w:type="auto"/>
            <w:hideMark/>
          </w:tcPr>
          <w:p w14:paraId="58F3715C"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Inflacja CPI</w:t>
            </w:r>
          </w:p>
        </w:tc>
        <w:tc>
          <w:tcPr>
            <w:tcW w:w="0" w:type="auto"/>
            <w:hideMark/>
          </w:tcPr>
          <w:p w14:paraId="0E50CC5D"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ok. 2,7%</w:t>
            </w:r>
          </w:p>
        </w:tc>
      </w:tr>
      <w:tr w:rsidR="00D04D23" w:rsidRPr="005C6382" w14:paraId="6E9AA5D8" w14:textId="77777777" w:rsidTr="00D04D23">
        <w:tc>
          <w:tcPr>
            <w:tcW w:w="0" w:type="auto"/>
            <w:hideMark/>
          </w:tcPr>
          <w:p w14:paraId="7F728579"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Dynamika płac nominalnych</w:t>
            </w:r>
          </w:p>
        </w:tc>
        <w:tc>
          <w:tcPr>
            <w:tcW w:w="0" w:type="auto"/>
            <w:hideMark/>
          </w:tcPr>
          <w:p w14:paraId="677780F2"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ok. 5,6%</w:t>
            </w:r>
          </w:p>
        </w:tc>
      </w:tr>
      <w:tr w:rsidR="00D04D23" w:rsidRPr="005C6382" w14:paraId="40BBAE03" w14:textId="77777777" w:rsidTr="00D04D23">
        <w:tc>
          <w:tcPr>
            <w:tcW w:w="0" w:type="auto"/>
            <w:hideMark/>
          </w:tcPr>
          <w:p w14:paraId="3DD938D2"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Realny wzrost wynagrodzeń</w:t>
            </w:r>
          </w:p>
        </w:tc>
        <w:tc>
          <w:tcPr>
            <w:tcW w:w="0" w:type="auto"/>
            <w:hideMark/>
          </w:tcPr>
          <w:p w14:paraId="516592C0"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ok. 3,0%</w:t>
            </w:r>
          </w:p>
        </w:tc>
      </w:tr>
      <w:tr w:rsidR="00D04D23" w:rsidRPr="005C6382" w14:paraId="5460FF83" w14:textId="77777777" w:rsidTr="00D04D23">
        <w:tc>
          <w:tcPr>
            <w:tcW w:w="0" w:type="auto"/>
            <w:hideMark/>
          </w:tcPr>
          <w:p w14:paraId="7B0F6FE5"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Stopa bezrobocia</w:t>
            </w:r>
          </w:p>
        </w:tc>
        <w:tc>
          <w:tcPr>
            <w:tcW w:w="0" w:type="auto"/>
            <w:hideMark/>
          </w:tcPr>
          <w:p w14:paraId="1A4496FC" w14:textId="77777777" w:rsidR="00D04D23" w:rsidRPr="005C6382" w:rsidRDefault="00D04D23" w:rsidP="00D04D23">
            <w:pPr>
              <w:spacing w:after="160" w:line="278" w:lineRule="auto"/>
              <w:jc w:val="both"/>
              <w:rPr>
                <w:rFonts w:ascii="Times New Roman" w:hAnsi="Times New Roman" w:cs="Times New Roman"/>
              </w:rPr>
            </w:pPr>
            <w:r w:rsidRPr="005C6382">
              <w:rPr>
                <w:rFonts w:ascii="Times New Roman" w:hAnsi="Times New Roman" w:cs="Times New Roman"/>
              </w:rPr>
              <w:t>ok. 5,5%</w:t>
            </w:r>
          </w:p>
        </w:tc>
      </w:tr>
    </w:tbl>
    <w:p w14:paraId="297E1455" w14:textId="77777777" w:rsidR="00D04D23" w:rsidRPr="005C6382" w:rsidRDefault="00D04D23" w:rsidP="00D04D23">
      <w:pPr>
        <w:jc w:val="both"/>
        <w:rPr>
          <w:rFonts w:ascii="Times New Roman" w:hAnsi="Times New Roman" w:cs="Times New Roman"/>
        </w:rPr>
      </w:pPr>
    </w:p>
    <w:p w14:paraId="283726BF" w14:textId="0186BFF0" w:rsidR="00D04D23" w:rsidRPr="005C6382" w:rsidRDefault="00D04D23" w:rsidP="00D04D23">
      <w:pPr>
        <w:jc w:val="both"/>
        <w:rPr>
          <w:rFonts w:ascii="Times New Roman" w:hAnsi="Times New Roman" w:cs="Times New Roman"/>
        </w:rPr>
      </w:pPr>
      <w:r w:rsidRPr="005C6382">
        <w:rPr>
          <w:rFonts w:ascii="Times New Roman" w:hAnsi="Times New Roman" w:cs="Times New Roman"/>
        </w:rPr>
        <w:t>Powrót inflacji w okolice celu inflacyjnego NBP oznacza przede wszystkim większą przewidywalność działalności gospodarczej. Ograniczone zostanie ryzyko gwałtownych wzrostów cen energii, materiałów i usług, co ułatwi planowanie inwestycji oraz zawieranie długoterminowych kontraktów.</w:t>
      </w:r>
    </w:p>
    <w:p w14:paraId="66D64547"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t>Jednocześnie utrzymująca się stosunkowo wysoka dynamika wynagrodzeń świadczy o nadal napiętym rynku pracy. Bezrobocie pozostanie historycznie niskie, a przedsiębiorcy nadal będą konkurować o wykwalifikowanych pracowników, zwłaszcza w zawodach rzemieślniczych, budowlanych, instalacyjnych czy usługowych. Oznacza to, że presja płacowa wprawdzie osłabnie, ale nie zniknie całkowicie.</w:t>
      </w:r>
    </w:p>
    <w:p w14:paraId="570FCA76" w14:textId="5434A51F" w:rsidR="00D04D23" w:rsidRPr="005C6382" w:rsidRDefault="00D04D23" w:rsidP="00D04D23">
      <w:pPr>
        <w:jc w:val="both"/>
        <w:rPr>
          <w:rFonts w:ascii="Times New Roman" w:hAnsi="Times New Roman" w:cs="Times New Roman"/>
        </w:rPr>
      </w:pPr>
      <w:r w:rsidRPr="005C6382">
        <w:rPr>
          <w:rFonts w:ascii="Times New Roman" w:hAnsi="Times New Roman" w:cs="Times New Roman"/>
        </w:rPr>
        <w:t>Największym problemem polskich przedsiębiorstw nie będzie w 2027 roku brak popytu, lecz ograniczona podaż pracy. Proces starzenia się społeczeństwa oraz malejąca liczba osób w wieku produkcyjnym powodują trwały niedobór pracowników. Coraz większego znaczenia nabiera również luka pokoleniowa w zawodach rzemieślniczych.</w:t>
      </w:r>
      <w:r w:rsidRPr="005C6382">
        <w:rPr>
          <w:rFonts w:ascii="Times New Roman" w:hAnsi="Times New Roman" w:cs="Times New Roman"/>
        </w:rPr>
        <w:t xml:space="preserve"> </w:t>
      </w:r>
      <w:r w:rsidRPr="005C6382">
        <w:rPr>
          <w:rFonts w:ascii="Times New Roman" w:hAnsi="Times New Roman" w:cs="Times New Roman"/>
        </w:rPr>
        <w:t>W praktyce oznacza to, że właściciele zakładów będą zmuszeni do:</w:t>
      </w:r>
    </w:p>
    <w:p w14:paraId="13D6EB75" w14:textId="77777777" w:rsidR="00D04D23" w:rsidRPr="005C6382" w:rsidRDefault="00D04D23" w:rsidP="00D04D23">
      <w:pPr>
        <w:numPr>
          <w:ilvl w:val="0"/>
          <w:numId w:val="4"/>
        </w:numPr>
        <w:jc w:val="both"/>
        <w:rPr>
          <w:rFonts w:ascii="Times New Roman" w:hAnsi="Times New Roman" w:cs="Times New Roman"/>
        </w:rPr>
      </w:pPr>
      <w:r w:rsidRPr="005C6382">
        <w:rPr>
          <w:rFonts w:ascii="Times New Roman" w:hAnsi="Times New Roman" w:cs="Times New Roman"/>
        </w:rPr>
        <w:t>inwestowania w automatyzację i cyfryzację procesów,</w:t>
      </w:r>
    </w:p>
    <w:p w14:paraId="3713B222" w14:textId="77777777" w:rsidR="00D04D23" w:rsidRPr="005C6382" w:rsidRDefault="00D04D23" w:rsidP="00D04D23">
      <w:pPr>
        <w:numPr>
          <w:ilvl w:val="0"/>
          <w:numId w:val="4"/>
        </w:numPr>
        <w:jc w:val="both"/>
        <w:rPr>
          <w:rFonts w:ascii="Times New Roman" w:hAnsi="Times New Roman" w:cs="Times New Roman"/>
        </w:rPr>
      </w:pPr>
      <w:r w:rsidRPr="005C6382">
        <w:rPr>
          <w:rFonts w:ascii="Times New Roman" w:hAnsi="Times New Roman" w:cs="Times New Roman"/>
        </w:rPr>
        <w:t>podnoszenia wydajności pracy,</w:t>
      </w:r>
    </w:p>
    <w:p w14:paraId="09A598E6" w14:textId="77777777" w:rsidR="00D04D23" w:rsidRPr="005C6382" w:rsidRDefault="00D04D23" w:rsidP="00D04D23">
      <w:pPr>
        <w:numPr>
          <w:ilvl w:val="0"/>
          <w:numId w:val="4"/>
        </w:numPr>
        <w:jc w:val="both"/>
        <w:rPr>
          <w:rFonts w:ascii="Times New Roman" w:hAnsi="Times New Roman" w:cs="Times New Roman"/>
        </w:rPr>
      </w:pPr>
      <w:r w:rsidRPr="005C6382">
        <w:rPr>
          <w:rFonts w:ascii="Times New Roman" w:hAnsi="Times New Roman" w:cs="Times New Roman"/>
        </w:rPr>
        <w:t>intensywniejszego szkolenia pracowników,</w:t>
      </w:r>
    </w:p>
    <w:p w14:paraId="30E75B2A" w14:textId="77777777" w:rsidR="00D04D23" w:rsidRPr="005C6382" w:rsidRDefault="00D04D23" w:rsidP="00D04D23">
      <w:pPr>
        <w:numPr>
          <w:ilvl w:val="0"/>
          <w:numId w:val="4"/>
        </w:numPr>
        <w:jc w:val="both"/>
        <w:rPr>
          <w:rFonts w:ascii="Times New Roman" w:hAnsi="Times New Roman" w:cs="Times New Roman"/>
        </w:rPr>
      </w:pPr>
      <w:r w:rsidRPr="005C6382">
        <w:rPr>
          <w:rFonts w:ascii="Times New Roman" w:hAnsi="Times New Roman" w:cs="Times New Roman"/>
        </w:rPr>
        <w:t>budowania atrakcyjnych warunków zatrudnienia i systemów motywacyjnych.</w:t>
      </w:r>
    </w:p>
    <w:p w14:paraId="36A12928"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lastRenderedPageBreak/>
        <w:t>Konkurowanie wyłącznie poziomem wynagrodzeń stanie się coraz mniej skuteczną strategią.</w:t>
      </w:r>
    </w:p>
    <w:p w14:paraId="35CB123C" w14:textId="37905DA3" w:rsidR="00D04D23" w:rsidRPr="005C6382" w:rsidRDefault="00D04D23" w:rsidP="00D04D23">
      <w:pPr>
        <w:jc w:val="both"/>
        <w:rPr>
          <w:rFonts w:ascii="Times New Roman" w:hAnsi="Times New Roman" w:cs="Times New Roman"/>
        </w:rPr>
      </w:pPr>
      <w:r w:rsidRPr="005C6382">
        <w:rPr>
          <w:rFonts w:ascii="Times New Roman" w:hAnsi="Times New Roman" w:cs="Times New Roman"/>
        </w:rPr>
        <w:t>Choć inflacja będzie znacznie niższa niż w poprzednich latach, przedsiębiorcy nie odczują znaczącego spadku kosztów funkcjonowania. Ceny energii, usług, najmu, transportu oraz materiałów pozostaną na wysokim poziomie osiągniętym po kryzysach ostatnich lat.</w:t>
      </w:r>
      <w:r w:rsidRPr="005C6382">
        <w:rPr>
          <w:rFonts w:ascii="Times New Roman" w:hAnsi="Times New Roman" w:cs="Times New Roman"/>
        </w:rPr>
        <w:t xml:space="preserve"> </w:t>
      </w:r>
      <w:r w:rsidRPr="005C6382">
        <w:rPr>
          <w:rFonts w:ascii="Times New Roman" w:hAnsi="Times New Roman" w:cs="Times New Roman"/>
        </w:rPr>
        <w:t>W praktyce oznacza to przejście od problemu rosnących kosztów do problemu utrzymania rentowności przy stabilnych, lecz wysokich kosztach stałych.</w:t>
      </w:r>
      <w:r w:rsidRPr="005C6382">
        <w:rPr>
          <w:rFonts w:ascii="Times New Roman" w:hAnsi="Times New Roman" w:cs="Times New Roman"/>
        </w:rPr>
        <w:t xml:space="preserve"> </w:t>
      </w:r>
      <w:r w:rsidRPr="005C6382">
        <w:rPr>
          <w:rFonts w:ascii="Times New Roman" w:hAnsi="Times New Roman" w:cs="Times New Roman"/>
        </w:rPr>
        <w:t>Dla wielu małych przedsiębiorstw będzie to znacznie większe wyzwanie niż sama inflacja. W warunkach stabilnych cen klienci znacznie ostrożniej akceptują kolejne podwyżki, dlatego poprawa wyniku finansowego będzie zależała przede wszystkim od zwiększania efektywności działania.</w:t>
      </w:r>
    </w:p>
    <w:p w14:paraId="470CD823"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t>Spadająca inflacja oraz stabilizacja polityki pieniężnej będą sprzyjały stopniowej poprawie warunków finansowania inwestycji. Wraz z wygaśnięciem presji inflacyjnej możliwe będzie utrzymywanie niższych stóp procentowych niż w okresie walki z inflacją, co obniży koszt kredytu inwestycyjnego. Jednocześnie Rada Polityki Pieniężnej sygnalizuje ostrożność ze względu na niepewność geopolityczną i sytuację na światowych rynkach surowców.</w:t>
      </w:r>
    </w:p>
    <w:p w14:paraId="28A96008" w14:textId="77777777" w:rsidR="00D04D23" w:rsidRPr="005C6382" w:rsidRDefault="00D04D23" w:rsidP="00D04D23">
      <w:pPr>
        <w:jc w:val="both"/>
        <w:rPr>
          <w:rFonts w:ascii="Times New Roman" w:hAnsi="Times New Roman" w:cs="Times New Roman"/>
          <w:b/>
          <w:bCs/>
        </w:rPr>
      </w:pPr>
    </w:p>
    <w:p w14:paraId="670825F6" w14:textId="4F5F380E" w:rsidR="00D04D23" w:rsidRPr="005C6382" w:rsidRDefault="00D04D23" w:rsidP="00D04D23">
      <w:pPr>
        <w:jc w:val="both"/>
        <w:rPr>
          <w:rFonts w:ascii="Times New Roman" w:hAnsi="Times New Roman" w:cs="Times New Roman"/>
          <w:b/>
          <w:bCs/>
        </w:rPr>
      </w:pPr>
      <w:r w:rsidRPr="005C6382">
        <w:rPr>
          <w:rFonts w:ascii="Times New Roman" w:hAnsi="Times New Roman" w:cs="Times New Roman"/>
          <w:b/>
          <w:bCs/>
        </w:rPr>
        <w:t xml:space="preserve">Główne ryzyka dla gospodarki w </w:t>
      </w:r>
      <w:r w:rsidR="00BF50EE" w:rsidRPr="005C6382">
        <w:rPr>
          <w:rFonts w:ascii="Times New Roman" w:hAnsi="Times New Roman" w:cs="Times New Roman"/>
          <w:b/>
          <w:bCs/>
        </w:rPr>
        <w:t>latach 2026-</w:t>
      </w:r>
      <w:r w:rsidRPr="005C6382">
        <w:rPr>
          <w:rFonts w:ascii="Times New Roman" w:hAnsi="Times New Roman" w:cs="Times New Roman"/>
          <w:b/>
          <w:bCs/>
        </w:rPr>
        <w:t xml:space="preserve">2027 </w:t>
      </w:r>
    </w:p>
    <w:p w14:paraId="3EA54EC2" w14:textId="77777777" w:rsidR="00D04D23" w:rsidRPr="005C6382" w:rsidRDefault="00D04D23" w:rsidP="00D04D23">
      <w:pPr>
        <w:jc w:val="both"/>
        <w:rPr>
          <w:rFonts w:ascii="Times New Roman" w:hAnsi="Times New Roman" w:cs="Times New Roman"/>
        </w:rPr>
      </w:pPr>
      <w:r w:rsidRPr="005C6382">
        <w:rPr>
          <w:rFonts w:ascii="Times New Roman" w:hAnsi="Times New Roman" w:cs="Times New Roman"/>
        </w:rPr>
        <w:t>Mimo korzystnych prognoz istnieje szereg czynników mogących pogorszyć sytuację gospodarczą:</w:t>
      </w:r>
    </w:p>
    <w:p w14:paraId="66CB3859" w14:textId="77777777" w:rsidR="00D04D23" w:rsidRPr="005C6382" w:rsidRDefault="00D04D23" w:rsidP="00D04D23">
      <w:pPr>
        <w:numPr>
          <w:ilvl w:val="0"/>
          <w:numId w:val="6"/>
        </w:numPr>
        <w:jc w:val="both"/>
        <w:rPr>
          <w:rFonts w:ascii="Times New Roman" w:hAnsi="Times New Roman" w:cs="Times New Roman"/>
        </w:rPr>
      </w:pPr>
      <w:r w:rsidRPr="005C6382">
        <w:rPr>
          <w:rFonts w:ascii="Times New Roman" w:hAnsi="Times New Roman" w:cs="Times New Roman"/>
        </w:rPr>
        <w:t>eskalacja konfliktów geopolitycznych i wzrost cen surowców energetycznych,</w:t>
      </w:r>
    </w:p>
    <w:p w14:paraId="1D3DA04D" w14:textId="77777777" w:rsidR="00D04D23" w:rsidRPr="005C6382" w:rsidRDefault="00D04D23" w:rsidP="00D04D23">
      <w:pPr>
        <w:numPr>
          <w:ilvl w:val="0"/>
          <w:numId w:val="6"/>
        </w:numPr>
        <w:jc w:val="both"/>
        <w:rPr>
          <w:rFonts w:ascii="Times New Roman" w:hAnsi="Times New Roman" w:cs="Times New Roman"/>
        </w:rPr>
      </w:pPr>
      <w:r w:rsidRPr="005C6382">
        <w:rPr>
          <w:rFonts w:ascii="Times New Roman" w:hAnsi="Times New Roman" w:cs="Times New Roman"/>
        </w:rPr>
        <w:t>pogorszenie koniunktury w Niemczech i pozostałych krajach Unii Europejskiej,</w:t>
      </w:r>
    </w:p>
    <w:p w14:paraId="603B6803" w14:textId="77777777" w:rsidR="00D04D23" w:rsidRPr="005C6382" w:rsidRDefault="00D04D23" w:rsidP="00D04D23">
      <w:pPr>
        <w:numPr>
          <w:ilvl w:val="0"/>
          <w:numId w:val="6"/>
        </w:numPr>
        <w:jc w:val="both"/>
        <w:rPr>
          <w:rFonts w:ascii="Times New Roman" w:hAnsi="Times New Roman" w:cs="Times New Roman"/>
        </w:rPr>
      </w:pPr>
      <w:r w:rsidRPr="005C6382">
        <w:rPr>
          <w:rFonts w:ascii="Times New Roman" w:hAnsi="Times New Roman" w:cs="Times New Roman"/>
        </w:rPr>
        <w:t>opóźnienia w realizacji inwestycji finansowanych ze środków unijnych,</w:t>
      </w:r>
    </w:p>
    <w:p w14:paraId="62122436" w14:textId="77777777" w:rsidR="00D04D23" w:rsidRPr="005C6382" w:rsidRDefault="00D04D23" w:rsidP="00D04D23">
      <w:pPr>
        <w:numPr>
          <w:ilvl w:val="0"/>
          <w:numId w:val="6"/>
        </w:numPr>
        <w:jc w:val="both"/>
        <w:rPr>
          <w:rFonts w:ascii="Times New Roman" w:hAnsi="Times New Roman" w:cs="Times New Roman"/>
        </w:rPr>
      </w:pPr>
      <w:r w:rsidRPr="005C6382">
        <w:rPr>
          <w:rFonts w:ascii="Times New Roman" w:hAnsi="Times New Roman" w:cs="Times New Roman"/>
        </w:rPr>
        <w:t>utrzymujący się deficyt pracowników,</w:t>
      </w:r>
    </w:p>
    <w:p w14:paraId="6D0425BF" w14:textId="77777777" w:rsidR="00D04D23" w:rsidRPr="005C6382" w:rsidRDefault="00D04D23" w:rsidP="00D04D23">
      <w:pPr>
        <w:numPr>
          <w:ilvl w:val="0"/>
          <w:numId w:val="6"/>
        </w:numPr>
        <w:jc w:val="both"/>
        <w:rPr>
          <w:rFonts w:ascii="Times New Roman" w:hAnsi="Times New Roman" w:cs="Times New Roman"/>
        </w:rPr>
      </w:pPr>
      <w:r w:rsidRPr="005C6382">
        <w:rPr>
          <w:rFonts w:ascii="Times New Roman" w:hAnsi="Times New Roman" w:cs="Times New Roman"/>
        </w:rPr>
        <w:t>presja fiskalna wynikająca z wysokiego poziomu wydatków publicznych.</w:t>
      </w:r>
    </w:p>
    <w:p w14:paraId="5329136F" w14:textId="29193472" w:rsidR="00D04D23" w:rsidRPr="005C6382" w:rsidRDefault="00D04D23" w:rsidP="00D04D23">
      <w:pPr>
        <w:jc w:val="both"/>
        <w:rPr>
          <w:rFonts w:ascii="Times New Roman" w:hAnsi="Times New Roman" w:cs="Times New Roman"/>
        </w:rPr>
      </w:pPr>
      <w:r w:rsidRPr="005C6382">
        <w:rPr>
          <w:rFonts w:ascii="Times New Roman" w:hAnsi="Times New Roman" w:cs="Times New Roman"/>
        </w:rPr>
        <w:t>Nie są to obecnie scenariusze bazowe, jednak</w:t>
      </w:r>
      <w:r w:rsidRPr="005C6382">
        <w:rPr>
          <w:rFonts w:ascii="Times New Roman" w:hAnsi="Times New Roman" w:cs="Times New Roman"/>
        </w:rPr>
        <w:t xml:space="preserve"> ze względu na specyfikę polskiej gospodarki</w:t>
      </w:r>
      <w:r w:rsidRPr="005C6382">
        <w:rPr>
          <w:rFonts w:ascii="Times New Roman" w:hAnsi="Times New Roman" w:cs="Times New Roman"/>
        </w:rPr>
        <w:t xml:space="preserve"> pozostają</w:t>
      </w:r>
      <w:r w:rsidRPr="005C6382">
        <w:rPr>
          <w:rFonts w:ascii="Times New Roman" w:hAnsi="Times New Roman" w:cs="Times New Roman"/>
        </w:rPr>
        <w:t xml:space="preserve"> realnymi i </w:t>
      </w:r>
      <w:r w:rsidRPr="005C6382">
        <w:rPr>
          <w:rFonts w:ascii="Times New Roman" w:hAnsi="Times New Roman" w:cs="Times New Roman"/>
        </w:rPr>
        <w:t xml:space="preserve"> najważniejszymi źródłami niepewności dla przedsiębiorców.</w:t>
      </w:r>
    </w:p>
    <w:p w14:paraId="176DC30A" w14:textId="77777777" w:rsidR="00D04D23" w:rsidRPr="005C6382" w:rsidRDefault="00D04D23" w:rsidP="00D04D23">
      <w:pPr>
        <w:jc w:val="both"/>
        <w:rPr>
          <w:rFonts w:ascii="Times New Roman" w:hAnsi="Times New Roman" w:cs="Times New Roman"/>
        </w:rPr>
      </w:pPr>
    </w:p>
    <w:p w14:paraId="36FFD825" w14:textId="75276EE5" w:rsidR="00D04D23" w:rsidRPr="005C6382" w:rsidRDefault="00D04D23" w:rsidP="00D04D23">
      <w:pPr>
        <w:jc w:val="both"/>
        <w:rPr>
          <w:rFonts w:ascii="Times New Roman" w:hAnsi="Times New Roman" w:cs="Times New Roman"/>
        </w:rPr>
      </w:pPr>
      <w:r w:rsidRPr="005C6382">
        <w:rPr>
          <w:rFonts w:ascii="Times New Roman" w:hAnsi="Times New Roman" w:cs="Times New Roman"/>
        </w:rPr>
        <w:t>Rok 2027 zapowiada się jako okres stabilizacji gospodarczej i stopniowego powrotu do przewidywalnych warunków prowadzenia działalności. Oznacza to koniec okresu gwałtownych zmian cen i kosztów, ale jednocześnie początek nowego etapu konkurencji.</w:t>
      </w:r>
      <w:r w:rsidRPr="005C6382">
        <w:rPr>
          <w:rFonts w:ascii="Times New Roman" w:hAnsi="Times New Roman" w:cs="Times New Roman"/>
        </w:rPr>
        <w:t xml:space="preserve"> </w:t>
      </w:r>
      <w:r w:rsidRPr="005C6382">
        <w:rPr>
          <w:rFonts w:ascii="Times New Roman" w:hAnsi="Times New Roman" w:cs="Times New Roman"/>
        </w:rPr>
        <w:t>Przedsiębiorstwa nie będą już mogły budować rentowności przede wszystkim poprzez podnoszenie cen. O sukcesie coraz częściej decydować będą: produktywność pracy, efektywne zarządzanie kosztami, inwestycje w nowoczesne technologie oraz umiejętność pozyskania i utrzymania wykwalifikowanych pracowników.</w:t>
      </w:r>
    </w:p>
    <w:p w14:paraId="48B780BF" w14:textId="77777777" w:rsidR="00D04D23" w:rsidRPr="005C6382" w:rsidRDefault="00D04D23" w:rsidP="00D04D23">
      <w:pPr>
        <w:jc w:val="both"/>
        <w:rPr>
          <w:rFonts w:ascii="Times New Roman" w:hAnsi="Times New Roman" w:cs="Times New Roman"/>
        </w:rPr>
      </w:pPr>
    </w:p>
    <w:sectPr w:rsidR="00D04D23" w:rsidRPr="005C6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E73"/>
    <w:multiLevelType w:val="hybridMultilevel"/>
    <w:tmpl w:val="13086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DA2896"/>
    <w:multiLevelType w:val="multilevel"/>
    <w:tmpl w:val="6B2C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5B29"/>
    <w:multiLevelType w:val="multilevel"/>
    <w:tmpl w:val="EA70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14094"/>
    <w:multiLevelType w:val="multilevel"/>
    <w:tmpl w:val="70D0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554B3"/>
    <w:multiLevelType w:val="multilevel"/>
    <w:tmpl w:val="3DE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12A4C"/>
    <w:multiLevelType w:val="multilevel"/>
    <w:tmpl w:val="BBAC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972314">
    <w:abstractNumId w:val="4"/>
  </w:num>
  <w:num w:numId="2" w16cid:durableId="827474421">
    <w:abstractNumId w:val="2"/>
  </w:num>
  <w:num w:numId="3" w16cid:durableId="77756650">
    <w:abstractNumId w:val="0"/>
  </w:num>
  <w:num w:numId="4" w16cid:durableId="1381661787">
    <w:abstractNumId w:val="3"/>
  </w:num>
  <w:num w:numId="5" w16cid:durableId="733620202">
    <w:abstractNumId w:val="1"/>
  </w:num>
  <w:num w:numId="6" w16cid:durableId="649672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23"/>
    <w:rsid w:val="0004407B"/>
    <w:rsid w:val="000A1310"/>
    <w:rsid w:val="004202A0"/>
    <w:rsid w:val="00595BFD"/>
    <w:rsid w:val="005C000E"/>
    <w:rsid w:val="005C6382"/>
    <w:rsid w:val="00BF50EE"/>
    <w:rsid w:val="00D04D23"/>
    <w:rsid w:val="00F90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A34D"/>
  <w15:chartTrackingRefBased/>
  <w15:docId w15:val="{76076EDA-3373-4BE6-998C-2D53AED9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04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04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04D2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04D2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04D2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04D2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04D2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04D2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04D2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4D2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04D2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04D2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04D2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04D2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04D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04D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04D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04D23"/>
    <w:rPr>
      <w:rFonts w:eastAsiaTheme="majorEastAsia" w:cstheme="majorBidi"/>
      <w:color w:val="272727" w:themeColor="text1" w:themeTint="D8"/>
    </w:rPr>
  </w:style>
  <w:style w:type="paragraph" w:styleId="Tytu">
    <w:name w:val="Title"/>
    <w:basedOn w:val="Normalny"/>
    <w:next w:val="Normalny"/>
    <w:link w:val="TytuZnak"/>
    <w:uiPriority w:val="10"/>
    <w:qFormat/>
    <w:rsid w:val="00D04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04D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04D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04D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04D23"/>
    <w:pPr>
      <w:spacing w:before="160"/>
      <w:jc w:val="center"/>
    </w:pPr>
    <w:rPr>
      <w:i/>
      <w:iCs/>
      <w:color w:val="404040" w:themeColor="text1" w:themeTint="BF"/>
    </w:rPr>
  </w:style>
  <w:style w:type="character" w:customStyle="1" w:styleId="CytatZnak">
    <w:name w:val="Cytat Znak"/>
    <w:basedOn w:val="Domylnaczcionkaakapitu"/>
    <w:link w:val="Cytat"/>
    <w:uiPriority w:val="29"/>
    <w:rsid w:val="00D04D23"/>
    <w:rPr>
      <w:i/>
      <w:iCs/>
      <w:color w:val="404040" w:themeColor="text1" w:themeTint="BF"/>
    </w:rPr>
  </w:style>
  <w:style w:type="paragraph" w:styleId="Akapitzlist">
    <w:name w:val="List Paragraph"/>
    <w:basedOn w:val="Normalny"/>
    <w:uiPriority w:val="34"/>
    <w:qFormat/>
    <w:rsid w:val="00D04D23"/>
    <w:pPr>
      <w:ind w:left="720"/>
      <w:contextualSpacing/>
    </w:pPr>
  </w:style>
  <w:style w:type="character" w:styleId="Wyrnienieintensywne">
    <w:name w:val="Intense Emphasis"/>
    <w:basedOn w:val="Domylnaczcionkaakapitu"/>
    <w:uiPriority w:val="21"/>
    <w:qFormat/>
    <w:rsid w:val="00D04D23"/>
    <w:rPr>
      <w:i/>
      <w:iCs/>
      <w:color w:val="0F4761" w:themeColor="accent1" w:themeShade="BF"/>
    </w:rPr>
  </w:style>
  <w:style w:type="paragraph" w:styleId="Cytatintensywny">
    <w:name w:val="Intense Quote"/>
    <w:basedOn w:val="Normalny"/>
    <w:next w:val="Normalny"/>
    <w:link w:val="CytatintensywnyZnak"/>
    <w:uiPriority w:val="30"/>
    <w:qFormat/>
    <w:rsid w:val="00D04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04D23"/>
    <w:rPr>
      <w:i/>
      <w:iCs/>
      <w:color w:val="0F4761" w:themeColor="accent1" w:themeShade="BF"/>
    </w:rPr>
  </w:style>
  <w:style w:type="character" w:styleId="Odwoanieintensywne">
    <w:name w:val="Intense Reference"/>
    <w:basedOn w:val="Domylnaczcionkaakapitu"/>
    <w:uiPriority w:val="32"/>
    <w:qFormat/>
    <w:rsid w:val="00D04D23"/>
    <w:rPr>
      <w:b/>
      <w:bCs/>
      <w:smallCaps/>
      <w:color w:val="0F4761" w:themeColor="accent1" w:themeShade="BF"/>
      <w:spacing w:val="5"/>
    </w:rPr>
  </w:style>
  <w:style w:type="table" w:styleId="Tabela-Siatka">
    <w:name w:val="Table Grid"/>
    <w:basedOn w:val="Standardowy"/>
    <w:uiPriority w:val="39"/>
    <w:rsid w:val="00D0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1088</Words>
  <Characters>6533</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Kolek</dc:creator>
  <cp:keywords/>
  <dc:description/>
  <cp:lastModifiedBy>Antoni Kolek</cp:lastModifiedBy>
  <cp:revision>30</cp:revision>
  <dcterms:created xsi:type="dcterms:W3CDTF">2026-07-13T13:39:00Z</dcterms:created>
  <dcterms:modified xsi:type="dcterms:W3CDTF">2026-07-13T13:55:00Z</dcterms:modified>
</cp:coreProperties>
</file>