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37" w:rsidRDefault="00E11637" w:rsidP="00E11637">
      <w:pPr>
        <w:spacing w:after="0"/>
        <w:jc w:val="both"/>
        <w:rPr>
          <w:rFonts w:ascii="Times New Roman" w:hAnsi="Times New Roman"/>
          <w:b/>
          <w:sz w:val="24"/>
          <w:szCs w:val="24"/>
        </w:rPr>
      </w:pPr>
      <w:r>
        <w:rPr>
          <w:rFonts w:ascii="Times New Roman" w:hAnsi="Times New Roman"/>
          <w:b/>
          <w:sz w:val="24"/>
          <w:szCs w:val="24"/>
        </w:rPr>
        <w:t>Stanowisko Związku Rzemiosła Polskiego do założeń projektu budżetu na rok 2018</w:t>
      </w:r>
    </w:p>
    <w:p w:rsidR="00E11637" w:rsidRDefault="00E11637" w:rsidP="00E11637">
      <w:pPr>
        <w:pStyle w:val="NormalnyWeb"/>
        <w:shd w:val="clear" w:color="auto" w:fill="FFFFFF"/>
        <w:spacing w:line="276" w:lineRule="auto"/>
        <w:jc w:val="both"/>
        <w:rPr>
          <w:i/>
          <w:color w:val="000000"/>
        </w:rPr>
      </w:pPr>
      <w:r>
        <w:rPr>
          <w:rStyle w:val="lead3"/>
          <w:i/>
          <w:color w:val="000000"/>
        </w:rPr>
        <w:t xml:space="preserve">„Z przyjętych przez Rząd założeń do projektu budżetu na rok 2018 wynika, że  wzrost gospodarczy w przyszłym roku wyniesie 3,8 proc., inflacja 2,3 proc., a stopa bezrobocia - 6,4 proc. </w:t>
      </w:r>
    </w:p>
    <w:p w:rsidR="00E11637" w:rsidRDefault="00E11637" w:rsidP="00E11637">
      <w:pPr>
        <w:spacing w:before="100" w:beforeAutospacing="1" w:after="100" w:afterAutospacing="1"/>
        <w:jc w:val="both"/>
        <w:outlineLvl w:val="2"/>
        <w:rPr>
          <w:rFonts w:ascii="Times New Roman" w:eastAsia="Times New Roman" w:hAnsi="Times New Roman"/>
          <w:b/>
          <w:bCs/>
          <w:i/>
          <w:sz w:val="24"/>
          <w:szCs w:val="24"/>
          <w:lang w:eastAsia="pl-PL"/>
        </w:rPr>
      </w:pPr>
      <w:r>
        <w:rPr>
          <w:rFonts w:ascii="Times New Roman" w:eastAsia="Times New Roman" w:hAnsi="Times New Roman"/>
          <w:b/>
          <w:bCs/>
          <w:i/>
          <w:sz w:val="24"/>
          <w:szCs w:val="24"/>
          <w:lang w:eastAsia="pl-PL"/>
        </w:rPr>
        <w:t>Założenia makroekonomiczne</w:t>
      </w:r>
    </w:p>
    <w:p w:rsidR="00E11637" w:rsidRDefault="00E11637" w:rsidP="00E11637">
      <w:pPr>
        <w:numPr>
          <w:ilvl w:val="0"/>
          <w:numId w:val="1"/>
        </w:numPr>
        <w:spacing w:before="100" w:beforeAutospacing="1" w:after="100" w:afterAutospacing="1"/>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Wzrost gospodarczy w Polsce w 2017 r. ma wynieść 3,6 proc. Podstawowym czynnikiem wzrostu będzie prywatny popyt krajowy, wspierany oczekiwanym przyspieszeniem inwestycji publicznych, finansowanych ze środków unijnych. Zgodnie z prognozą, w 2018 r. wzrost PKB w ujęciu realnym przyspieszy i osiągnie 3,8 proc.</w:t>
      </w:r>
    </w:p>
    <w:p w:rsidR="00E11637" w:rsidRDefault="00E11637" w:rsidP="00E11637">
      <w:pPr>
        <w:numPr>
          <w:ilvl w:val="0"/>
          <w:numId w:val="1"/>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 2017 r. przeciętne zatrudnienie w gospodarce narodowej wzrośnie o 3,2 proc., aby w kolejnym roku zwiększyć się o kolejne 0,8 proc. Oczekiwana jest też kontynuacja spadkowej tendencji dotyczącej stopy bezrobocia. Szacuje się, że stopa bezrobocia na koniec 2017 r. spadnie do 7,2 proc., a na koniec 2018 r. wyniesie 6,4 proc. wobec 8,3 proc. z końca 2016 r.</w:t>
      </w:r>
    </w:p>
    <w:p w:rsidR="00E11637" w:rsidRDefault="00E11637" w:rsidP="00E11637">
      <w:pPr>
        <w:numPr>
          <w:ilvl w:val="0"/>
          <w:numId w:val="1"/>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Poprawa sytuacji na rynku pracy sprzyjać będzie wzrostowi wynagrodzeń. Przewiduje się, że w 2017 r. nominalne tempo wzrostu przeciętnego wynagrodzenia w gospodarce narodowej wyniesie 4,8 proc. wobec 3,6 proc. wzrostu zanotowanego średnio w 2016 r. W 2018 r. przeciętne wynagrodzenie w gospodarce narodowej zwiększy się o 4,7 proc. Uwzględniając oczekiwany wzrost zatrudnienia, w latach 2017-2018 należy spodziewać się istotnego wsparcia dochodów gospodarstw domowych ze strony rynku pracy. Dodatkowo, kontynuowane będzie wsparcie dochodów rodzin w związku z realizacją programu „Rodzina 500+”. Pozwala to przewidywać, że w 2017 r. realny wzrost spożycia prywatnego przyspieszy do 4,0 proc. wobec 3,8 proc. w roku ubiegłym. W 2018 r. realne tempo wzrostu konsumpcji prywatnej wyniesie 3,5 proc.</w:t>
      </w:r>
    </w:p>
    <w:p w:rsidR="00E11637" w:rsidRDefault="00E11637" w:rsidP="00E11637">
      <w:pPr>
        <w:numPr>
          <w:ilvl w:val="0"/>
          <w:numId w:val="1"/>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Prognozuje się, że po okresie deflacji w latach 2015-2016, od 2017 r. średnioroczne zmiany inflacji będą stopniowo zmierzać w kierunku celu wyznaczonego przez Narodowy Bank Polski. W warunkach stabilizacji sytuacji na rynkach surowcowych i rynku żywności, średnioroczny wskaźnik inflacji w 2017 r. powinien ukształtować się na poziomie 1,8 proc., w 2018 r. powinien przyspieszyć do 2,3 proc.</w:t>
      </w:r>
    </w:p>
    <w:p w:rsidR="00761276" w:rsidRDefault="00E11637" w:rsidP="00761276">
      <w:pPr>
        <w:spacing w:before="100" w:beforeAutospacing="1" w:after="100" w:afterAutospacing="1"/>
        <w:jc w:val="both"/>
        <w:outlineLvl w:val="2"/>
        <w:rPr>
          <w:rFonts w:ascii="Times New Roman" w:eastAsia="Times New Roman" w:hAnsi="Times New Roman"/>
          <w:b/>
          <w:bCs/>
          <w:i/>
          <w:sz w:val="24"/>
          <w:szCs w:val="24"/>
          <w:lang w:eastAsia="pl-PL"/>
        </w:rPr>
      </w:pPr>
      <w:r>
        <w:rPr>
          <w:rFonts w:ascii="Times New Roman" w:eastAsia="Times New Roman" w:hAnsi="Times New Roman"/>
          <w:b/>
          <w:bCs/>
          <w:i/>
          <w:sz w:val="24"/>
          <w:szCs w:val="24"/>
          <w:lang w:eastAsia="pl-PL"/>
        </w:rPr>
        <w:t>Dochody budżetu państwa</w:t>
      </w:r>
    </w:p>
    <w:p w:rsidR="00E11637" w:rsidRDefault="00E11637" w:rsidP="00761276">
      <w:pPr>
        <w:spacing w:before="100" w:beforeAutospacing="1" w:after="100" w:afterAutospacing="1"/>
        <w:jc w:val="both"/>
        <w:outlineLvl w:val="2"/>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Założono, że w 2018 r. stawki VAT pozostaną na poziomach obowiązujących w 2017 r. Na poziom dochodów budżetu państwa w 2018 r. istotny wpływ będą miały także działania związane z poprawą przestrzegania przepisów podatkowych. Będą one głównie skoncentrowane na ograniczenie tzw. luki podatkowej w VAT, stanowiące główny cel Krajowej Administracji Skarbowej; działania te  umożliwią  w szczególności: </w:t>
      </w:r>
    </w:p>
    <w:p w:rsidR="00E11637" w:rsidRDefault="00E11637" w:rsidP="00E11637">
      <w:pPr>
        <w:numPr>
          <w:ilvl w:val="0"/>
          <w:numId w:val="2"/>
        </w:numPr>
        <w:tabs>
          <w:tab w:val="num" w:pos="360"/>
        </w:tabs>
        <w:spacing w:before="100" w:beforeAutospacing="1" w:after="100" w:afterAutospacing="1"/>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 xml:space="preserve">system teleinformatyczny wspierający wykrywanie faktur dokumentujących czynności fikcyjne, na podstawie jednolitych plików kontrolnych (JPK) zawierających ewidencję zakupu i sprzedaży VAT; </w:t>
      </w:r>
    </w:p>
    <w:p w:rsidR="00E11637" w:rsidRDefault="00E11637" w:rsidP="00E11637">
      <w:pPr>
        <w:numPr>
          <w:ilvl w:val="0"/>
          <w:numId w:val="2"/>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wprowadzenie obowiązku przekazywania KAS danych, które umożliwią szybką identyfikację podejrzanych transakcji i weryfikację spójności deklarowanych przychodów oraz kosztów z obrotami na rachunku bankowym; </w:t>
      </w:r>
    </w:p>
    <w:p w:rsidR="00E11637" w:rsidRDefault="00E11637" w:rsidP="00E11637">
      <w:pPr>
        <w:numPr>
          <w:ilvl w:val="0"/>
          <w:numId w:val="2"/>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wdrożenie systemu teleinformatycznego i mechanizmu analizy ryzyka, ograniczającego wykorzystywanie przez przestępców uczestniczących w wyłudzeniach podatku VAT niedoskonałości w przepływie informacji w ramach systemu bankowego; </w:t>
      </w:r>
    </w:p>
    <w:p w:rsidR="00E11637" w:rsidRDefault="00E11637" w:rsidP="00E11637">
      <w:pPr>
        <w:numPr>
          <w:ilvl w:val="0"/>
          <w:numId w:val="2"/>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wprowadzenie w 2018 r. tzw. modelu podzielonej płatności za dostarczone towary lub wyświadczone usługi na kwotę netto, która będzie wpłacana przez nabywcę na konto dostawcy lub usługodawcy oraz kwotę podatku, która trafi bezpośrednio na odrębne konto VAT, przeznaczone do opłacania przez podatnika VAT naliczonego i swoich zobowiązań z tytułu VAT do urzędu skarbowego; </w:t>
      </w:r>
    </w:p>
    <w:p w:rsidR="00E11637" w:rsidRDefault="00E11637" w:rsidP="00E11637">
      <w:pPr>
        <w:numPr>
          <w:ilvl w:val="0"/>
          <w:numId w:val="2"/>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wprowadzenie wielu dodatkowych działań w obszarze podatków: VAT, CIT i akcyzy, których celem jest poszerzanie wiedzy oraz jakości instrumentów analitycznych i kontrolnych. </w:t>
      </w:r>
    </w:p>
    <w:p w:rsidR="00E11637" w:rsidRDefault="00E11637" w:rsidP="00E11637">
      <w:pPr>
        <w:spacing w:before="100" w:beforeAutospacing="1" w:after="100" w:afterAutospacing="1"/>
        <w:jc w:val="both"/>
        <w:outlineLvl w:val="2"/>
        <w:rPr>
          <w:rFonts w:ascii="Times New Roman" w:eastAsia="Times New Roman" w:hAnsi="Times New Roman"/>
          <w:b/>
          <w:bCs/>
          <w:i/>
          <w:sz w:val="24"/>
          <w:szCs w:val="24"/>
          <w:lang w:eastAsia="pl-PL"/>
        </w:rPr>
      </w:pPr>
      <w:r>
        <w:rPr>
          <w:rFonts w:ascii="Times New Roman" w:eastAsia="Times New Roman" w:hAnsi="Times New Roman"/>
          <w:b/>
          <w:bCs/>
          <w:i/>
          <w:sz w:val="24"/>
          <w:szCs w:val="24"/>
          <w:lang w:eastAsia="pl-PL"/>
        </w:rPr>
        <w:t>Wydatki budżetu państwa</w:t>
      </w:r>
    </w:p>
    <w:p w:rsidR="00E11637" w:rsidRDefault="00E11637" w:rsidP="00E11637">
      <w:pPr>
        <w:numPr>
          <w:ilvl w:val="0"/>
          <w:numId w:val="3"/>
        </w:numPr>
        <w:spacing w:before="100" w:beforeAutospacing="1" w:after="100" w:afterAutospacing="1"/>
        <w:ind w:left="360"/>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Zasadniczy wpływ na wysokość wydatków budżetowych będzie miała tzw. stabilizująca reguła wydatkowa, która wyznacza nieprzekraczalny limit wydatków dla organów i jednostek finansów publicznych, w tym dla budżetu państwa. </w:t>
      </w:r>
    </w:p>
    <w:p w:rsidR="00E11637" w:rsidRDefault="00E11637" w:rsidP="00E11637">
      <w:pPr>
        <w:numPr>
          <w:ilvl w:val="0"/>
          <w:numId w:val="3"/>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Zgodnie z ustawą budżetową na 2017 r. oraz stabilizującą regułą wydatkową, którą objętych jest ok. 90 proc. wydatków sektora instytucji rządowych i samorządowych, kwota wydatków wynosi w 2017 r. 764,8 mld zł i jest wyższa o 5 proc. niż w 2016 r. </w:t>
      </w:r>
    </w:p>
    <w:p w:rsidR="00E11637" w:rsidRDefault="00E11637" w:rsidP="00E11637">
      <w:pPr>
        <w:numPr>
          <w:ilvl w:val="0"/>
          <w:numId w:val="3"/>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W Wieloletnim Planie Finansowym Państwa na lata 2017-2020 szacuje się wzrost kwoty wydatków w 2018 r. o 4,8 proc. </w:t>
      </w:r>
    </w:p>
    <w:p w:rsidR="00E11637" w:rsidRDefault="00E11637" w:rsidP="00E11637">
      <w:pPr>
        <w:numPr>
          <w:ilvl w:val="0"/>
          <w:numId w:val="3"/>
        </w:numPr>
        <w:spacing w:before="120" w:after="100" w:afterAutospacing="1"/>
        <w:ind w:left="357" w:hanging="357"/>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t xml:space="preserve">Rząd ustalił, że podczas prac nad projektem ustawy budżetowej na 2018 r. zostanie przeznaczone co najmniej 2 proc. PKB na obronność. </w:t>
      </w:r>
    </w:p>
    <w:p w:rsidR="00E11637" w:rsidRDefault="00E11637" w:rsidP="00E11637">
      <w:pPr>
        <w:pStyle w:val="NormalnyWeb"/>
        <w:shd w:val="clear" w:color="auto" w:fill="FFFFFF"/>
        <w:spacing w:line="276" w:lineRule="auto"/>
        <w:jc w:val="both"/>
        <w:rPr>
          <w:i/>
        </w:rPr>
      </w:pPr>
      <w:r>
        <w:rPr>
          <w:i/>
          <w:color w:val="000000"/>
        </w:rPr>
        <w:t>Rząd zaznaczył, że największym wyzwaniem przyszłorocznego budżetu będzie niewiadoma dotycząca tego, ile osób zdecyduje się na przejście na emeryturę w wieku 60 – 65 lat po nabyciu takiego uprawnienia. Resort finansów przyjmuje, że na emeryturę może przejść 90 % uprawnionych, choć analizy wskazują na ok. 83 – 85 %. Może to obciążyć przyszłoroczny budżet kwotą 10 mld zł.”</w:t>
      </w:r>
    </w:p>
    <w:p w:rsidR="00E11637" w:rsidRDefault="00E11637" w:rsidP="00E11637">
      <w:pPr>
        <w:spacing w:after="0"/>
        <w:jc w:val="both"/>
        <w:rPr>
          <w:rFonts w:ascii="Times New Roman" w:hAnsi="Times New Roman"/>
          <w:sz w:val="24"/>
          <w:szCs w:val="24"/>
        </w:rPr>
      </w:pPr>
      <w:r>
        <w:rPr>
          <w:rFonts w:ascii="Times New Roman" w:hAnsi="Times New Roman"/>
          <w:sz w:val="24"/>
          <w:szCs w:val="24"/>
        </w:rPr>
        <w:t>Zdaniem Związku Rzemiosła Polskiego przewidywana prognoza jest zbyt optymistyczna</w:t>
      </w:r>
      <w:r w:rsidR="009D4F6B">
        <w:rPr>
          <w:rFonts w:ascii="Times New Roman" w:hAnsi="Times New Roman"/>
          <w:sz w:val="24"/>
          <w:szCs w:val="24"/>
        </w:rPr>
        <w:t xml:space="preserve">. Zgodnie z dostępnymi opiniami ekspertów - </w:t>
      </w:r>
      <w:r>
        <w:rPr>
          <w:rFonts w:ascii="Times New Roman" w:hAnsi="Times New Roman"/>
          <w:sz w:val="24"/>
          <w:szCs w:val="24"/>
        </w:rPr>
        <w:t xml:space="preserve">w budżecie na przyszły rok </w:t>
      </w:r>
      <w:r w:rsidR="00C532C4">
        <w:rPr>
          <w:rFonts w:ascii="Times New Roman" w:hAnsi="Times New Roman"/>
          <w:sz w:val="24"/>
          <w:szCs w:val="24"/>
        </w:rPr>
        <w:t xml:space="preserve">- </w:t>
      </w:r>
      <w:r>
        <w:rPr>
          <w:rFonts w:ascii="Times New Roman" w:hAnsi="Times New Roman"/>
          <w:sz w:val="24"/>
          <w:szCs w:val="24"/>
        </w:rPr>
        <w:t xml:space="preserve">rząd musi znaleźć ok. 9 mld zł oszczędności.  W tej sytuacji niezbędne będzie cięcie wydatków a przestrzeń dla takich działań jest ograniczona z uwagi na kosztowne wydatki socjalne, jak wiek emerytalny i </w:t>
      </w:r>
      <w:r>
        <w:rPr>
          <w:rFonts w:ascii="Times New Roman" w:hAnsi="Times New Roman"/>
          <w:sz w:val="24"/>
          <w:szCs w:val="24"/>
        </w:rPr>
        <w:lastRenderedPageBreak/>
        <w:t xml:space="preserve">program „Rodzina 500 plus” oraz planowany wzrost wydatków na obronność i Narodowy Fundusz Zdrowia. </w:t>
      </w:r>
    </w:p>
    <w:p w:rsidR="00523830" w:rsidRDefault="00E11637" w:rsidP="00E11637">
      <w:pPr>
        <w:spacing w:before="120" w:after="0"/>
        <w:jc w:val="both"/>
        <w:rPr>
          <w:rFonts w:ascii="Times New Roman" w:hAnsi="Times New Roman"/>
          <w:sz w:val="24"/>
          <w:szCs w:val="24"/>
        </w:rPr>
      </w:pPr>
      <w:r>
        <w:rPr>
          <w:rFonts w:ascii="Times New Roman" w:hAnsi="Times New Roman"/>
          <w:sz w:val="24"/>
          <w:szCs w:val="24"/>
        </w:rPr>
        <w:t xml:space="preserve">W wydatkach majątkowych istnieje  możliwość oszczędności, ale to oznacza, że inwestycje w sektorze publicznym nie będą mogły być realizowane w zakładanych rozmiarach a właśnie inwestycje sektora rządowego i samorządowego wspierane środkami unijnymi mają być istotnym czynnikiem wzrostu gospodarczego w roku 2018. </w:t>
      </w:r>
      <w:r w:rsidR="009D4F6B">
        <w:rPr>
          <w:rFonts w:ascii="Times New Roman" w:hAnsi="Times New Roman"/>
          <w:sz w:val="24"/>
          <w:szCs w:val="24"/>
        </w:rPr>
        <w:t xml:space="preserve"> Wątpliwości może także budzić założenie, że przyspieszenie inwestycji publicznych będzie możliwe, m.in. dzięki finansowaniu środkami unijnymi. </w:t>
      </w:r>
      <w:r w:rsidR="00523830">
        <w:rPr>
          <w:rFonts w:ascii="Times New Roman" w:hAnsi="Times New Roman"/>
          <w:sz w:val="24"/>
          <w:szCs w:val="24"/>
        </w:rPr>
        <w:t xml:space="preserve">W </w:t>
      </w:r>
      <w:r w:rsidR="009D4F6B">
        <w:rPr>
          <w:rFonts w:ascii="Times New Roman" w:hAnsi="Times New Roman"/>
          <w:sz w:val="24"/>
          <w:szCs w:val="24"/>
        </w:rPr>
        <w:t>obecnej p</w:t>
      </w:r>
      <w:r w:rsidR="00761276">
        <w:rPr>
          <w:rFonts w:ascii="Times New Roman" w:hAnsi="Times New Roman"/>
          <w:sz w:val="24"/>
          <w:szCs w:val="24"/>
        </w:rPr>
        <w:t>erspektywie</w:t>
      </w:r>
      <w:r w:rsidR="000B4506">
        <w:rPr>
          <w:rFonts w:ascii="Times New Roman" w:hAnsi="Times New Roman"/>
          <w:sz w:val="24"/>
          <w:szCs w:val="24"/>
        </w:rPr>
        <w:t xml:space="preserve"> budżetowej </w:t>
      </w:r>
      <w:r w:rsidR="00661283">
        <w:rPr>
          <w:rFonts w:ascii="Times New Roman" w:hAnsi="Times New Roman"/>
          <w:sz w:val="24"/>
          <w:szCs w:val="24"/>
        </w:rPr>
        <w:t>Polska otrz</w:t>
      </w:r>
      <w:r w:rsidR="00523830">
        <w:rPr>
          <w:rFonts w:ascii="Times New Roman" w:hAnsi="Times New Roman"/>
          <w:sz w:val="24"/>
          <w:szCs w:val="24"/>
        </w:rPr>
        <w:t xml:space="preserve">ymuje coraz </w:t>
      </w:r>
      <w:r w:rsidR="00661283">
        <w:rPr>
          <w:rFonts w:ascii="Times New Roman" w:hAnsi="Times New Roman"/>
          <w:sz w:val="24"/>
          <w:szCs w:val="24"/>
        </w:rPr>
        <w:t xml:space="preserve"> mniej pieniędzy</w:t>
      </w:r>
      <w:r w:rsidR="00523830">
        <w:rPr>
          <w:rFonts w:ascii="Times New Roman" w:hAnsi="Times New Roman"/>
          <w:sz w:val="24"/>
          <w:szCs w:val="24"/>
        </w:rPr>
        <w:t xml:space="preserve"> z UE, w tym na cele inwestycyjne w porównaniu do perspektywy zakończonej w roku 2013.    </w:t>
      </w:r>
    </w:p>
    <w:p w:rsidR="003450CB" w:rsidRDefault="00E11637" w:rsidP="00E11637">
      <w:pPr>
        <w:spacing w:before="120" w:after="0"/>
        <w:jc w:val="both"/>
        <w:rPr>
          <w:rFonts w:ascii="Times New Roman" w:hAnsi="Times New Roman"/>
          <w:sz w:val="24"/>
          <w:szCs w:val="24"/>
        </w:rPr>
      </w:pPr>
      <w:r>
        <w:rPr>
          <w:rFonts w:ascii="Times New Roman" w:hAnsi="Times New Roman"/>
          <w:sz w:val="24"/>
          <w:szCs w:val="24"/>
        </w:rPr>
        <w:t>Niepewne wydaje się także założenie rosnącego popytu inwestycyjnego w sektorze prywatnym. Niestety, niektóre zapowiedzi ze strony rządu wobec przedsiębiorców (np. nowe instrumenty kontrolne biurokratyzujące działalność, nieuzasadnione zróżnicowanie w obciążeniach fiskalno-ubezpieczeniowych firm</w:t>
      </w:r>
      <w:r w:rsidR="007F6105">
        <w:rPr>
          <w:rFonts w:ascii="Times New Roman" w:hAnsi="Times New Roman"/>
          <w:sz w:val="24"/>
          <w:szCs w:val="24"/>
        </w:rPr>
        <w:t>, o których mowa poniżej</w:t>
      </w:r>
      <w:r>
        <w:rPr>
          <w:rFonts w:ascii="Times New Roman" w:hAnsi="Times New Roman"/>
          <w:sz w:val="24"/>
          <w:szCs w:val="24"/>
        </w:rPr>
        <w:t>) jak i</w:t>
      </w:r>
      <w:r w:rsidR="00E82A78">
        <w:rPr>
          <w:rFonts w:ascii="Times New Roman" w:hAnsi="Times New Roman"/>
          <w:sz w:val="24"/>
          <w:szCs w:val="24"/>
        </w:rPr>
        <w:t xml:space="preserve"> utrzymująca się od lat </w:t>
      </w:r>
      <w:r>
        <w:rPr>
          <w:rFonts w:ascii="Times New Roman" w:hAnsi="Times New Roman"/>
          <w:sz w:val="24"/>
          <w:szCs w:val="24"/>
        </w:rPr>
        <w:t xml:space="preserve">ogólna </w:t>
      </w:r>
      <w:r w:rsidR="00E82A78">
        <w:rPr>
          <w:rFonts w:ascii="Times New Roman" w:hAnsi="Times New Roman"/>
          <w:sz w:val="24"/>
          <w:szCs w:val="24"/>
        </w:rPr>
        <w:t>niepewność inwestycyjna przedsiębiorców</w:t>
      </w:r>
      <w:r>
        <w:rPr>
          <w:rFonts w:ascii="Times New Roman" w:hAnsi="Times New Roman"/>
          <w:sz w:val="24"/>
          <w:szCs w:val="24"/>
        </w:rPr>
        <w:t xml:space="preserve"> mogą</w:t>
      </w:r>
      <w:r w:rsidR="00E82A78">
        <w:rPr>
          <w:rFonts w:ascii="Times New Roman" w:hAnsi="Times New Roman"/>
          <w:sz w:val="24"/>
          <w:szCs w:val="24"/>
        </w:rPr>
        <w:t xml:space="preserve"> oznaczać, że inwestycje przedsiębiorstw nie przyspieszą. </w:t>
      </w:r>
    </w:p>
    <w:p w:rsidR="00E11637" w:rsidRDefault="003450CB" w:rsidP="00E11637">
      <w:pPr>
        <w:spacing w:before="120" w:after="0"/>
        <w:jc w:val="both"/>
        <w:rPr>
          <w:rFonts w:ascii="Times New Roman" w:hAnsi="Times New Roman"/>
          <w:sz w:val="24"/>
          <w:szCs w:val="24"/>
        </w:rPr>
      </w:pPr>
      <w:r>
        <w:rPr>
          <w:rFonts w:ascii="Times New Roman" w:hAnsi="Times New Roman"/>
          <w:sz w:val="24"/>
          <w:szCs w:val="24"/>
        </w:rPr>
        <w:t xml:space="preserve">Związek Rzemiosła od lat sygnalizuje, że </w:t>
      </w:r>
      <w:r w:rsidR="00E11637">
        <w:rPr>
          <w:rFonts w:ascii="Times New Roman" w:hAnsi="Times New Roman"/>
          <w:sz w:val="24"/>
          <w:szCs w:val="24"/>
        </w:rPr>
        <w:t xml:space="preserve"> zasadniczy wpływ na plany inwestycyjne polskich przedsiębiorców ma wysoka konkurencyjność cenowo - kosztowa produktów importowanych z rynków wschodnich. Jeśli warunki rynkowe handlu nie ulegną zmianie - przedsiębiorcy nie będą inwestować, pomimo zachęt inwestycyjnych, nie mają bowiem perspektyw na opłacalność przedsięwzięcia. </w:t>
      </w:r>
    </w:p>
    <w:p w:rsidR="00E11637" w:rsidRDefault="003450CB" w:rsidP="003450CB">
      <w:pPr>
        <w:spacing w:before="120" w:after="0"/>
        <w:jc w:val="both"/>
        <w:rPr>
          <w:rFonts w:ascii="Times New Roman" w:hAnsi="Times New Roman"/>
          <w:sz w:val="24"/>
          <w:szCs w:val="24"/>
        </w:rPr>
      </w:pPr>
      <w:r>
        <w:rPr>
          <w:rFonts w:ascii="Times New Roman" w:hAnsi="Times New Roman"/>
          <w:sz w:val="24"/>
          <w:szCs w:val="24"/>
        </w:rPr>
        <w:t>W opinii rzemiosła w polity</w:t>
      </w:r>
      <w:r w:rsidR="00E11637">
        <w:rPr>
          <w:rFonts w:ascii="Times New Roman" w:hAnsi="Times New Roman"/>
          <w:sz w:val="24"/>
          <w:szCs w:val="24"/>
        </w:rPr>
        <w:t>ce państwa  na rzecz przedsiębiorczości,  istnieje potrzeba wzmocnienia tych elementów polityki gospodarczej, które przyczynią się do wzrostu potencjał</w:t>
      </w:r>
      <w:r>
        <w:rPr>
          <w:rFonts w:ascii="Times New Roman" w:hAnsi="Times New Roman"/>
          <w:sz w:val="24"/>
          <w:szCs w:val="24"/>
        </w:rPr>
        <w:t>u  istniejących przedsiębiorstw.</w:t>
      </w:r>
      <w:r w:rsidR="00E11637">
        <w:rPr>
          <w:rFonts w:ascii="Times New Roman" w:hAnsi="Times New Roman"/>
          <w:sz w:val="24"/>
          <w:szCs w:val="24"/>
        </w:rPr>
        <w:t xml:space="preserve"> Podczas gdy najwięcej ułatwień i propozycji ulg, w tym obniżki kosztów ubezpieczeń społecznych i podatków - adresowanych jest do osób planujących rozpoczęcie działalności w niewielkich rozmiarach, rolników produkujących żywność oraz do mikro podmiotów działających  poza systemem działalności rejestrowej. Nie wprowadza się  podobnych rozwiązań adresowanych do mikro i małych firm spoza sektora rolniczego prowadzących już działalność.  </w:t>
      </w:r>
    </w:p>
    <w:p w:rsidR="00E11637" w:rsidRDefault="00E11637" w:rsidP="003450CB">
      <w:pPr>
        <w:spacing w:before="120" w:after="0"/>
        <w:jc w:val="both"/>
        <w:rPr>
          <w:rFonts w:ascii="Times New Roman" w:hAnsi="Times New Roman"/>
          <w:sz w:val="24"/>
          <w:szCs w:val="24"/>
        </w:rPr>
      </w:pPr>
      <w:r>
        <w:rPr>
          <w:rFonts w:ascii="Times New Roman" w:hAnsi="Times New Roman"/>
          <w:sz w:val="24"/>
          <w:szCs w:val="24"/>
        </w:rPr>
        <w:t xml:space="preserve">Ponadto decydujące znaczenie na rosnący popyt inwestycyjny w sektorze prywatnym ma również fachowa siła robocza, której w niektórych branżach brakuje. Mogą niepokoić działania rządu prowadzące do rozbudzenia postaw roszczeniowych pracowników. Rosnąca płaca minimalna </w:t>
      </w:r>
      <w:r w:rsidR="00661283">
        <w:rPr>
          <w:rFonts w:ascii="Times New Roman" w:hAnsi="Times New Roman"/>
          <w:sz w:val="24"/>
          <w:szCs w:val="24"/>
        </w:rPr>
        <w:t xml:space="preserve">i w konsekwencji wynagrodzenie przeciętne </w:t>
      </w:r>
      <w:r>
        <w:rPr>
          <w:rFonts w:ascii="Times New Roman" w:hAnsi="Times New Roman"/>
          <w:sz w:val="24"/>
          <w:szCs w:val="24"/>
        </w:rPr>
        <w:t>postawi rząd i pracodawców wobec silnej presji płaco</w:t>
      </w:r>
      <w:r w:rsidR="00E128FD">
        <w:rPr>
          <w:rFonts w:ascii="Times New Roman" w:hAnsi="Times New Roman"/>
          <w:sz w:val="24"/>
          <w:szCs w:val="24"/>
        </w:rPr>
        <w:t>wej kolejnych grup zawodowych. Dodatkowo rosnące szybci</w:t>
      </w:r>
      <w:r w:rsidR="00661283">
        <w:rPr>
          <w:rFonts w:ascii="Times New Roman" w:hAnsi="Times New Roman"/>
          <w:sz w:val="24"/>
          <w:szCs w:val="24"/>
        </w:rPr>
        <w:t>ej, niż dotychczas wynagrodzenia</w:t>
      </w:r>
      <w:r w:rsidR="00E128FD">
        <w:rPr>
          <w:rFonts w:ascii="Times New Roman" w:hAnsi="Times New Roman"/>
          <w:sz w:val="24"/>
          <w:szCs w:val="24"/>
        </w:rPr>
        <w:t xml:space="preserve"> </w:t>
      </w:r>
      <w:r w:rsidR="00661283">
        <w:rPr>
          <w:rFonts w:ascii="Times New Roman" w:hAnsi="Times New Roman"/>
          <w:sz w:val="24"/>
          <w:szCs w:val="24"/>
        </w:rPr>
        <w:t>mogą spowodować presję inflacyjną wyższą niż założono oraz wzrost kosztów</w:t>
      </w:r>
      <w:r w:rsidR="0004506F">
        <w:rPr>
          <w:rFonts w:ascii="Times New Roman" w:hAnsi="Times New Roman"/>
          <w:sz w:val="24"/>
          <w:szCs w:val="24"/>
        </w:rPr>
        <w:t xml:space="preserve"> działalności </w:t>
      </w:r>
      <w:r w:rsidR="00661283">
        <w:rPr>
          <w:rFonts w:ascii="Times New Roman" w:hAnsi="Times New Roman"/>
          <w:sz w:val="24"/>
          <w:szCs w:val="24"/>
        </w:rPr>
        <w:t xml:space="preserve"> </w:t>
      </w:r>
      <w:r w:rsidR="0004506F">
        <w:rPr>
          <w:rFonts w:ascii="Times New Roman" w:hAnsi="Times New Roman"/>
          <w:sz w:val="24"/>
          <w:szCs w:val="24"/>
        </w:rPr>
        <w:t>przedsiębiorstw.</w:t>
      </w:r>
      <w:r w:rsidR="00C9155F">
        <w:rPr>
          <w:rFonts w:ascii="Times New Roman" w:hAnsi="Times New Roman"/>
          <w:sz w:val="24"/>
          <w:szCs w:val="24"/>
        </w:rPr>
        <w:t xml:space="preserve"> </w:t>
      </w:r>
      <w:r w:rsidR="00E128FD">
        <w:rPr>
          <w:rFonts w:ascii="Times New Roman" w:hAnsi="Times New Roman"/>
          <w:sz w:val="24"/>
          <w:szCs w:val="24"/>
        </w:rPr>
        <w:t xml:space="preserve"> </w:t>
      </w:r>
    </w:p>
    <w:p w:rsidR="00E11637" w:rsidRDefault="00E11637" w:rsidP="003450CB">
      <w:pPr>
        <w:spacing w:before="120" w:after="0"/>
        <w:jc w:val="both"/>
        <w:rPr>
          <w:rFonts w:ascii="Times New Roman" w:eastAsia="Times New Roman" w:hAnsi="Times New Roman"/>
          <w:sz w:val="24"/>
          <w:szCs w:val="24"/>
          <w:lang w:eastAsia="pl-PL"/>
        </w:rPr>
      </w:pPr>
      <w:r>
        <w:rPr>
          <w:rFonts w:ascii="Times New Roman" w:hAnsi="Times New Roman"/>
          <w:sz w:val="24"/>
          <w:szCs w:val="24"/>
        </w:rPr>
        <w:t>Rząd zakłada w głównej mierze dochody do budżetu z podatku VAT oraz</w:t>
      </w:r>
      <w:r>
        <w:rPr>
          <w:rFonts w:ascii="Times New Roman" w:eastAsia="Times New Roman" w:hAnsi="Times New Roman"/>
          <w:sz w:val="24"/>
          <w:szCs w:val="24"/>
          <w:lang w:eastAsia="pl-PL"/>
        </w:rPr>
        <w:t xml:space="preserve"> z zawieszonego podatku od handlu detalicznego. </w:t>
      </w:r>
      <w:r>
        <w:rPr>
          <w:rFonts w:ascii="Times New Roman" w:hAnsi="Times New Roman"/>
          <w:color w:val="193441"/>
          <w:sz w:val="24"/>
          <w:szCs w:val="24"/>
          <w:shd w:val="clear" w:color="auto" w:fill="FFFFFF"/>
        </w:rPr>
        <w:t>Założono, iż w 2018 r. uszczelnienie systemu podatkowego przyniesie ok. 8 mld zł, w 2019 r. - ok. 6 mld zł, a w 2020 r. - ok. 4 mld zł.</w:t>
      </w:r>
    </w:p>
    <w:p w:rsidR="00C532C4" w:rsidRDefault="00E11637" w:rsidP="00C532C4">
      <w:pPr>
        <w:shd w:val="clear" w:color="auto" w:fill="FFFFFF"/>
        <w:spacing w:before="120" w:after="360"/>
        <w:jc w:val="both"/>
        <w:textAlignment w:val="baseline"/>
        <w:rPr>
          <w:rFonts w:ascii="Times New Roman" w:eastAsia="Times New Roman" w:hAnsi="Times New Roman"/>
          <w:bCs/>
          <w:color w:val="000000"/>
          <w:sz w:val="24"/>
          <w:szCs w:val="24"/>
          <w:lang w:eastAsia="pl-PL"/>
        </w:rPr>
      </w:pPr>
      <w:r w:rsidRPr="00A256C1">
        <w:rPr>
          <w:rFonts w:ascii="Times New Roman" w:hAnsi="Times New Roman"/>
          <w:bCs/>
          <w:color w:val="000000"/>
          <w:sz w:val="24"/>
          <w:szCs w:val="24"/>
        </w:rPr>
        <w:t>Podczas  gdy</w:t>
      </w:r>
      <w:r w:rsidR="00A256C1" w:rsidRPr="00A256C1">
        <w:rPr>
          <w:rFonts w:ascii="Times New Roman" w:hAnsi="Times New Roman"/>
          <w:bCs/>
          <w:color w:val="000000"/>
          <w:sz w:val="24"/>
          <w:szCs w:val="24"/>
        </w:rPr>
        <w:t xml:space="preserve"> już wiadomo</w:t>
      </w:r>
      <w:r w:rsidR="00A256C1" w:rsidRPr="00A256C1">
        <w:rPr>
          <w:rFonts w:ascii="Tahoma" w:hAnsi="Tahoma" w:cs="Tahoma"/>
          <w:bCs/>
          <w:color w:val="000000"/>
          <w:sz w:val="24"/>
          <w:szCs w:val="24"/>
        </w:rPr>
        <w:t xml:space="preserve"> </w:t>
      </w:r>
      <w:r w:rsidR="00A256C1">
        <w:rPr>
          <w:rFonts w:ascii="Tahoma" w:hAnsi="Tahoma" w:cs="Tahoma"/>
          <w:bCs/>
          <w:color w:val="000000"/>
          <w:sz w:val="24"/>
          <w:szCs w:val="24"/>
        </w:rPr>
        <w:t xml:space="preserve">- </w:t>
      </w:r>
      <w:r w:rsidRPr="00A256C1">
        <w:rPr>
          <w:rFonts w:ascii="Tahoma" w:hAnsi="Tahoma" w:cs="Tahoma"/>
          <w:bCs/>
          <w:color w:val="000000"/>
          <w:sz w:val="24"/>
          <w:szCs w:val="24"/>
        </w:rPr>
        <w:t xml:space="preserve"> </w:t>
      </w:r>
      <w:r w:rsidRPr="00A256C1">
        <w:rPr>
          <w:rFonts w:ascii="Times New Roman" w:eastAsia="Times New Roman" w:hAnsi="Times New Roman"/>
          <w:bCs/>
          <w:color w:val="000000"/>
          <w:sz w:val="24"/>
          <w:szCs w:val="24"/>
          <w:lang w:eastAsia="pl-PL"/>
        </w:rPr>
        <w:t>Komisja Europejska uznała, że polski podatek od sprzedaży</w:t>
      </w:r>
      <w:r>
        <w:rPr>
          <w:rFonts w:ascii="Times New Roman" w:eastAsia="Times New Roman" w:hAnsi="Times New Roman"/>
          <w:bCs/>
          <w:color w:val="000000"/>
          <w:sz w:val="24"/>
          <w:szCs w:val="24"/>
          <w:lang w:eastAsia="pl-PL"/>
        </w:rPr>
        <w:t xml:space="preserve"> detalicznej narusza unijne zasady pomocy państwa i nałożyła na Polskę obowiązek </w:t>
      </w:r>
      <w:r>
        <w:rPr>
          <w:rFonts w:ascii="Times New Roman" w:eastAsia="Times New Roman" w:hAnsi="Times New Roman"/>
          <w:bCs/>
          <w:i/>
          <w:color w:val="000000"/>
          <w:sz w:val="24"/>
          <w:szCs w:val="24"/>
          <w:lang w:eastAsia="pl-PL"/>
        </w:rPr>
        <w:lastRenderedPageBreak/>
        <w:t xml:space="preserve">"zlikwidowania nieuczciwej dyskryminacji przedsiębiorstw wynikającej z przepisów o podatku od sprzedaży detalicznej i przywrócenia równego traktowania na rynku". </w:t>
      </w:r>
      <w:r>
        <w:rPr>
          <w:rFonts w:ascii="Times New Roman" w:eastAsia="Times New Roman" w:hAnsi="Times New Roman"/>
          <w:bCs/>
          <w:color w:val="000000"/>
          <w:sz w:val="24"/>
          <w:szCs w:val="24"/>
          <w:lang w:eastAsia="pl-PL"/>
        </w:rPr>
        <w:t>Nawet jeśli szacowan</w:t>
      </w:r>
      <w:bookmarkStart w:id="0" w:name="_GoBack"/>
      <w:bookmarkEnd w:id="0"/>
      <w:r>
        <w:rPr>
          <w:rFonts w:ascii="Times New Roman" w:eastAsia="Times New Roman" w:hAnsi="Times New Roman"/>
          <w:bCs/>
          <w:color w:val="000000"/>
          <w:sz w:val="24"/>
          <w:szCs w:val="24"/>
          <w:lang w:eastAsia="pl-PL"/>
        </w:rPr>
        <w:t xml:space="preserve">e  na poziomie </w:t>
      </w:r>
      <w:r w:rsidR="0004506F">
        <w:rPr>
          <w:rFonts w:ascii="Times New Roman" w:eastAsia="Times New Roman" w:hAnsi="Times New Roman"/>
          <w:bCs/>
          <w:color w:val="000000"/>
          <w:sz w:val="24"/>
          <w:szCs w:val="24"/>
          <w:lang w:eastAsia="pl-PL"/>
        </w:rPr>
        <w:t xml:space="preserve">0,9 mld zł </w:t>
      </w:r>
      <w:r>
        <w:rPr>
          <w:rFonts w:ascii="Times New Roman" w:eastAsia="Times New Roman" w:hAnsi="Times New Roman"/>
          <w:bCs/>
          <w:color w:val="000000"/>
          <w:sz w:val="24"/>
          <w:szCs w:val="24"/>
          <w:lang w:eastAsia="pl-PL"/>
        </w:rPr>
        <w:t xml:space="preserve">przychody  z tego podatku nie mają dużego znaczenia dla  budżetu, </w:t>
      </w:r>
      <w:r w:rsidR="0004506F">
        <w:rPr>
          <w:rFonts w:ascii="Times New Roman" w:eastAsia="Times New Roman" w:hAnsi="Times New Roman"/>
          <w:bCs/>
          <w:color w:val="000000"/>
          <w:sz w:val="24"/>
          <w:szCs w:val="24"/>
          <w:lang w:eastAsia="pl-PL"/>
        </w:rPr>
        <w:t xml:space="preserve">wiadomo już, że </w:t>
      </w:r>
      <w:r>
        <w:rPr>
          <w:rFonts w:ascii="Times New Roman" w:eastAsia="Times New Roman" w:hAnsi="Times New Roman"/>
          <w:bCs/>
          <w:color w:val="000000"/>
          <w:sz w:val="24"/>
          <w:szCs w:val="24"/>
          <w:lang w:eastAsia="pl-PL"/>
        </w:rPr>
        <w:t xml:space="preserve">pojawi się kolejny ubytek w planowanych wpływach podatkowych. </w:t>
      </w:r>
    </w:p>
    <w:p w:rsidR="00E11637" w:rsidRDefault="00C532C4" w:rsidP="00C532C4">
      <w:pPr>
        <w:shd w:val="clear" w:color="auto" w:fill="FFFFFF"/>
        <w:spacing w:before="120" w:after="360"/>
        <w:jc w:val="both"/>
        <w:textAlignment w:val="baseline"/>
        <w:rPr>
          <w:rFonts w:ascii="Times New Roman" w:hAnsi="Times New Roman"/>
          <w:sz w:val="24"/>
          <w:szCs w:val="24"/>
        </w:rPr>
      </w:pPr>
      <w:r>
        <w:rPr>
          <w:rFonts w:ascii="Times New Roman" w:eastAsia="Times New Roman" w:hAnsi="Times New Roman"/>
          <w:bCs/>
          <w:color w:val="000000"/>
          <w:sz w:val="24"/>
          <w:szCs w:val="24"/>
          <w:lang w:eastAsia="pl-PL"/>
        </w:rPr>
        <w:t>W</w:t>
      </w:r>
      <w:r w:rsidR="00E128FD">
        <w:rPr>
          <w:rFonts w:ascii="Times New Roman" w:hAnsi="Times New Roman"/>
          <w:sz w:val="24"/>
          <w:szCs w:val="24"/>
        </w:rPr>
        <w:t>z</w:t>
      </w:r>
      <w:r w:rsidR="00E11637">
        <w:rPr>
          <w:rFonts w:ascii="Times New Roman" w:hAnsi="Times New Roman"/>
          <w:sz w:val="24"/>
          <w:szCs w:val="24"/>
        </w:rPr>
        <w:t xml:space="preserve">rośnie również składka do Unii Europejskiej i subwencja </w:t>
      </w:r>
      <w:r w:rsidR="00E128FD">
        <w:rPr>
          <w:rFonts w:ascii="Times New Roman" w:hAnsi="Times New Roman"/>
          <w:sz w:val="24"/>
          <w:szCs w:val="24"/>
        </w:rPr>
        <w:t>wyrównawcza dla samorządów</w:t>
      </w:r>
      <w:r w:rsidR="00A256C1">
        <w:rPr>
          <w:rFonts w:ascii="Times New Roman" w:hAnsi="Times New Roman"/>
          <w:sz w:val="24"/>
          <w:szCs w:val="24"/>
        </w:rPr>
        <w:t>, co dodatkowo obciąży budżet po stronie wydatków.</w:t>
      </w:r>
      <w:r w:rsidR="00523830">
        <w:rPr>
          <w:rFonts w:ascii="Times New Roman" w:hAnsi="Times New Roman"/>
          <w:sz w:val="24"/>
          <w:szCs w:val="24"/>
        </w:rPr>
        <w:t xml:space="preserve"> Około 75% naszej składki zależy </w:t>
      </w:r>
      <w:r>
        <w:rPr>
          <w:rFonts w:ascii="Times New Roman" w:hAnsi="Times New Roman"/>
          <w:sz w:val="24"/>
          <w:szCs w:val="24"/>
        </w:rPr>
        <w:t xml:space="preserve">od PKB </w:t>
      </w:r>
      <w:r w:rsidR="00523830">
        <w:rPr>
          <w:rFonts w:ascii="Times New Roman" w:hAnsi="Times New Roman"/>
          <w:sz w:val="24"/>
          <w:szCs w:val="24"/>
        </w:rPr>
        <w:t xml:space="preserve"> i wraz ze wzrostem gospodarczym ta część składki będzie rosła.  </w:t>
      </w:r>
    </w:p>
    <w:p w:rsidR="00C532C4" w:rsidRDefault="00C532C4" w:rsidP="00C532C4">
      <w:pPr>
        <w:shd w:val="clear" w:color="auto" w:fill="FFFFFF"/>
        <w:spacing w:before="120" w:after="360"/>
        <w:jc w:val="both"/>
        <w:textAlignment w:val="baseline"/>
        <w:rPr>
          <w:rFonts w:ascii="Times New Roman" w:hAnsi="Times New Roman"/>
          <w:sz w:val="24"/>
          <w:szCs w:val="24"/>
        </w:rPr>
      </w:pPr>
    </w:p>
    <w:p w:rsidR="00C532C4" w:rsidRDefault="00C532C4" w:rsidP="00C532C4">
      <w:pPr>
        <w:shd w:val="clear" w:color="auto" w:fill="FFFFFF"/>
        <w:spacing w:before="120" w:after="360"/>
        <w:jc w:val="both"/>
        <w:textAlignment w:val="baseline"/>
        <w:rPr>
          <w:rFonts w:ascii="Times New Roman" w:hAnsi="Times New Roman"/>
          <w:sz w:val="24"/>
          <w:szCs w:val="24"/>
        </w:rPr>
      </w:pPr>
    </w:p>
    <w:p w:rsidR="00C532C4" w:rsidRDefault="00C532C4" w:rsidP="00C532C4">
      <w:pPr>
        <w:shd w:val="clear" w:color="auto" w:fill="FFFFFF"/>
        <w:spacing w:before="120" w:after="360"/>
        <w:jc w:val="both"/>
        <w:textAlignment w:val="baseline"/>
        <w:rPr>
          <w:rFonts w:ascii="Times New Roman" w:hAnsi="Times New Roman"/>
          <w:sz w:val="24"/>
          <w:szCs w:val="24"/>
        </w:rPr>
      </w:pPr>
    </w:p>
    <w:p w:rsidR="00C532C4" w:rsidRDefault="00C532C4" w:rsidP="00C532C4">
      <w:pPr>
        <w:shd w:val="clear" w:color="auto" w:fill="FFFFFF"/>
        <w:spacing w:before="120" w:after="360"/>
        <w:jc w:val="both"/>
        <w:textAlignment w:val="baseline"/>
        <w:rPr>
          <w:rFonts w:ascii="Times New Roman" w:hAnsi="Times New Roman"/>
          <w:sz w:val="24"/>
          <w:szCs w:val="24"/>
        </w:rPr>
      </w:pPr>
    </w:p>
    <w:p w:rsidR="00643641" w:rsidRPr="00B673A0" w:rsidRDefault="00B673A0" w:rsidP="00B673A0">
      <w:pPr>
        <w:shd w:val="clear" w:color="auto" w:fill="FFFFFF"/>
        <w:spacing w:before="120" w:after="360"/>
        <w:jc w:val="both"/>
        <w:textAlignment w:val="baseline"/>
        <w:rPr>
          <w:rFonts w:ascii="Times New Roman" w:hAnsi="Times New Roman"/>
          <w:i/>
          <w:sz w:val="24"/>
          <w:szCs w:val="24"/>
        </w:rPr>
      </w:pPr>
      <w:r>
        <w:rPr>
          <w:rFonts w:ascii="Times New Roman" w:hAnsi="Times New Roman"/>
          <w:i/>
          <w:sz w:val="24"/>
          <w:szCs w:val="24"/>
        </w:rPr>
        <w:t>03.07.2017r. Warszawa,</w:t>
      </w:r>
    </w:p>
    <w:sectPr w:rsidR="00643641" w:rsidRPr="00B67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26" w:rsidRDefault="00891D26" w:rsidP="00A256C1">
      <w:pPr>
        <w:spacing w:after="0" w:line="240" w:lineRule="auto"/>
      </w:pPr>
      <w:r>
        <w:separator/>
      </w:r>
    </w:p>
  </w:endnote>
  <w:endnote w:type="continuationSeparator" w:id="0">
    <w:p w:rsidR="00891D26" w:rsidRDefault="00891D26" w:rsidP="00A2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26" w:rsidRDefault="00891D26" w:rsidP="00A256C1">
      <w:pPr>
        <w:spacing w:after="0" w:line="240" w:lineRule="auto"/>
      </w:pPr>
      <w:r>
        <w:separator/>
      </w:r>
    </w:p>
  </w:footnote>
  <w:footnote w:type="continuationSeparator" w:id="0">
    <w:p w:rsidR="00891D26" w:rsidRDefault="00891D26" w:rsidP="00A2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2B36"/>
    <w:multiLevelType w:val="multilevel"/>
    <w:tmpl w:val="E55EE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E84683E"/>
    <w:multiLevelType w:val="multilevel"/>
    <w:tmpl w:val="B756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E9C7AC6"/>
    <w:multiLevelType w:val="multilevel"/>
    <w:tmpl w:val="C54ED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37"/>
    <w:rsid w:val="0004506F"/>
    <w:rsid w:val="000B4506"/>
    <w:rsid w:val="00126650"/>
    <w:rsid w:val="0026286C"/>
    <w:rsid w:val="003450CB"/>
    <w:rsid w:val="00523830"/>
    <w:rsid w:val="005E2553"/>
    <w:rsid w:val="00643641"/>
    <w:rsid w:val="00661283"/>
    <w:rsid w:val="0074189E"/>
    <w:rsid w:val="00761276"/>
    <w:rsid w:val="007A1903"/>
    <w:rsid w:val="007F6105"/>
    <w:rsid w:val="008065EB"/>
    <w:rsid w:val="00891D26"/>
    <w:rsid w:val="009178A9"/>
    <w:rsid w:val="009D4F6B"/>
    <w:rsid w:val="00A256C1"/>
    <w:rsid w:val="00B673A0"/>
    <w:rsid w:val="00C313DF"/>
    <w:rsid w:val="00C532C4"/>
    <w:rsid w:val="00C9155F"/>
    <w:rsid w:val="00E11637"/>
    <w:rsid w:val="00E128FD"/>
    <w:rsid w:val="00E342EE"/>
    <w:rsid w:val="00E7451D"/>
    <w:rsid w:val="00E82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1163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ad3">
    <w:name w:val="lead3"/>
    <w:basedOn w:val="Domylnaczcionkaakapitu"/>
    <w:rsid w:val="00E11637"/>
    <w:rPr>
      <w:b/>
      <w:bCs/>
    </w:rPr>
  </w:style>
  <w:style w:type="paragraph" w:styleId="Tekstprzypisukocowego">
    <w:name w:val="endnote text"/>
    <w:basedOn w:val="Normalny"/>
    <w:link w:val="TekstprzypisukocowegoZnak"/>
    <w:uiPriority w:val="99"/>
    <w:semiHidden/>
    <w:unhideWhenUsed/>
    <w:rsid w:val="00A256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6C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256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1163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ad3">
    <w:name w:val="lead3"/>
    <w:basedOn w:val="Domylnaczcionkaakapitu"/>
    <w:rsid w:val="00E11637"/>
    <w:rPr>
      <w:b/>
      <w:bCs/>
    </w:rPr>
  </w:style>
  <w:style w:type="paragraph" w:styleId="Tekstprzypisukocowego">
    <w:name w:val="endnote text"/>
    <w:basedOn w:val="Normalny"/>
    <w:link w:val="TekstprzypisukocowegoZnak"/>
    <w:uiPriority w:val="99"/>
    <w:semiHidden/>
    <w:unhideWhenUsed/>
    <w:rsid w:val="00A256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6C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25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Lutow</dc:creator>
  <cp:lastModifiedBy>Elżbieta Lutow</cp:lastModifiedBy>
  <cp:revision>13</cp:revision>
  <cp:lastPrinted>2017-07-03T09:15:00Z</cp:lastPrinted>
  <dcterms:created xsi:type="dcterms:W3CDTF">2017-07-03T07:25:00Z</dcterms:created>
  <dcterms:modified xsi:type="dcterms:W3CDTF">2017-07-06T10:17:00Z</dcterms:modified>
</cp:coreProperties>
</file>